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09" w:rsidRPr="00E77A2B" w:rsidRDefault="00C53209" w:rsidP="00C53209">
      <w:pPr>
        <w:pStyle w:val="8"/>
        <w:rPr>
          <w:sz w:val="24"/>
        </w:rPr>
      </w:pPr>
      <w:r w:rsidRPr="00E77A2B">
        <w:rPr>
          <w:sz w:val="24"/>
        </w:rPr>
        <w:tab/>
      </w:r>
      <w:r w:rsidRPr="00E77A2B">
        <w:rPr>
          <w:sz w:val="24"/>
        </w:rPr>
        <w:tab/>
      </w:r>
      <w:r w:rsidRPr="00E77A2B">
        <w:rPr>
          <w:sz w:val="24"/>
        </w:rPr>
        <w:tab/>
      </w:r>
      <w:r w:rsidRPr="00E77A2B">
        <w:rPr>
          <w:sz w:val="24"/>
        </w:rPr>
        <w:tab/>
      </w:r>
      <w:r w:rsidRPr="00E77A2B">
        <w:rPr>
          <w:sz w:val="24"/>
        </w:rPr>
        <w:tab/>
      </w:r>
      <w:r w:rsidRPr="00E77A2B">
        <w:rPr>
          <w:sz w:val="24"/>
        </w:rPr>
        <w:tab/>
      </w:r>
      <w:r w:rsidRPr="00E77A2B">
        <w:rPr>
          <w:sz w:val="24"/>
        </w:rPr>
        <w:tab/>
      </w:r>
      <w:r w:rsidRPr="00E77A2B">
        <w:rPr>
          <w:sz w:val="24"/>
        </w:rPr>
        <w:tab/>
        <w:t xml:space="preserve">Вводятся в действие </w:t>
      </w:r>
    </w:p>
    <w:p w:rsidR="00C53209" w:rsidRPr="00E77A2B" w:rsidRDefault="00C53209" w:rsidP="00C53209">
      <w:pPr>
        <w:ind w:left="4680"/>
        <w:jc w:val="right"/>
        <w:rPr>
          <w:b/>
          <w:bCs/>
        </w:rPr>
      </w:pPr>
      <w:r w:rsidRPr="00E77A2B">
        <w:rPr>
          <w:b/>
          <w:bCs/>
        </w:rPr>
        <w:t xml:space="preserve"> «</w:t>
      </w:r>
      <w:r w:rsidR="006B0FC2" w:rsidRPr="00E77A2B">
        <w:rPr>
          <w:b/>
          <w:bCs/>
        </w:rPr>
        <w:t>09</w:t>
      </w:r>
      <w:r w:rsidRPr="00E77A2B">
        <w:rPr>
          <w:b/>
          <w:bCs/>
        </w:rPr>
        <w:t xml:space="preserve">» </w:t>
      </w:r>
      <w:r w:rsidR="006B0FC2" w:rsidRPr="00E77A2B">
        <w:rPr>
          <w:b/>
          <w:bCs/>
        </w:rPr>
        <w:t>января</w:t>
      </w:r>
      <w:r w:rsidRPr="00E77A2B">
        <w:rPr>
          <w:b/>
          <w:bCs/>
        </w:rPr>
        <w:t xml:space="preserve"> 201</w:t>
      </w:r>
      <w:r w:rsidR="006B0FC2" w:rsidRPr="00E77A2B">
        <w:rPr>
          <w:b/>
          <w:bCs/>
        </w:rPr>
        <w:t>7</w:t>
      </w:r>
      <w:r w:rsidRPr="00E77A2B">
        <w:rPr>
          <w:b/>
          <w:bCs/>
        </w:rPr>
        <w:t xml:space="preserve"> года </w:t>
      </w:r>
    </w:p>
    <w:p w:rsidR="00C53209" w:rsidRPr="00E77A2B" w:rsidRDefault="00C53209" w:rsidP="00C53209">
      <w:pPr>
        <w:ind w:left="4680"/>
        <w:jc w:val="right"/>
        <w:rPr>
          <w:b/>
          <w:bCs/>
        </w:rPr>
      </w:pPr>
      <w:r w:rsidRPr="00E77A2B">
        <w:rPr>
          <w:b/>
          <w:bCs/>
        </w:rPr>
        <w:t xml:space="preserve">Протокол Правления КБ «Новый Век» (ООО) от « </w:t>
      </w:r>
      <w:r w:rsidR="00C66FFC">
        <w:rPr>
          <w:b/>
          <w:bCs/>
        </w:rPr>
        <w:t>12</w:t>
      </w:r>
      <w:r w:rsidRPr="00E77A2B">
        <w:rPr>
          <w:b/>
          <w:bCs/>
        </w:rPr>
        <w:t xml:space="preserve"> »</w:t>
      </w:r>
      <w:r w:rsidR="00C66FFC">
        <w:rPr>
          <w:b/>
          <w:bCs/>
        </w:rPr>
        <w:t xml:space="preserve"> декабря</w:t>
      </w:r>
      <w:r w:rsidRPr="00E77A2B">
        <w:rPr>
          <w:b/>
          <w:bCs/>
        </w:rPr>
        <w:t xml:space="preserve">  201</w:t>
      </w:r>
      <w:r w:rsidR="006B0FC2" w:rsidRPr="00E77A2B">
        <w:rPr>
          <w:b/>
          <w:bCs/>
        </w:rPr>
        <w:t>6</w:t>
      </w:r>
      <w:r w:rsidRPr="00E77A2B">
        <w:rPr>
          <w:b/>
          <w:bCs/>
        </w:rPr>
        <w:t xml:space="preserve"> г. №</w:t>
      </w:r>
      <w:r w:rsidR="006E1D05" w:rsidRPr="00E77A2B">
        <w:rPr>
          <w:b/>
          <w:bCs/>
        </w:rPr>
        <w:t xml:space="preserve"> </w:t>
      </w:r>
      <w:r w:rsidR="00C66FFC">
        <w:rPr>
          <w:b/>
          <w:bCs/>
        </w:rPr>
        <w:t>32</w:t>
      </w:r>
      <w:bookmarkStart w:id="0" w:name="_GoBack"/>
      <w:bookmarkEnd w:id="0"/>
      <w:r w:rsidRPr="00E77A2B">
        <w:rPr>
          <w:b/>
          <w:bCs/>
        </w:rPr>
        <w:t xml:space="preserve">  </w:t>
      </w:r>
    </w:p>
    <w:p w:rsidR="002308CD" w:rsidRPr="00E77A2B" w:rsidRDefault="00C53209" w:rsidP="00513EE2">
      <w:pPr>
        <w:pStyle w:val="a3"/>
        <w:rPr>
          <w:sz w:val="24"/>
          <w:szCs w:val="24"/>
          <w:lang w:eastAsia="ru-RU"/>
        </w:rPr>
      </w:pP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  <w:r w:rsidRPr="00E77A2B">
        <w:rPr>
          <w:sz w:val="24"/>
          <w:szCs w:val="24"/>
          <w:lang w:eastAsia="ru-RU"/>
        </w:rPr>
        <w:tab/>
      </w:r>
    </w:p>
    <w:p w:rsidR="00C53209" w:rsidRPr="00E77A2B" w:rsidRDefault="00C53209" w:rsidP="00513EE2">
      <w:pPr>
        <w:pStyle w:val="a3"/>
        <w:rPr>
          <w:sz w:val="24"/>
          <w:szCs w:val="24"/>
          <w:lang w:eastAsia="ru-RU"/>
        </w:rPr>
      </w:pPr>
    </w:p>
    <w:p w:rsidR="002308CD" w:rsidRPr="00E77A2B" w:rsidRDefault="002308CD" w:rsidP="002308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77A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Тарифы по аренде сейфовых ячеек</w:t>
      </w:r>
      <w:r w:rsidR="00C53209" w:rsidRPr="00E77A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КБ «Новый век» (ООО)</w:t>
      </w:r>
    </w:p>
    <w:p w:rsidR="00611597" w:rsidRPr="00E77A2B" w:rsidRDefault="00611597" w:rsidP="002308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3EE2" w:rsidRPr="00E77A2B" w:rsidRDefault="00611597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13EE2"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Размер </w:t>
      </w:r>
      <w:r w:rsidR="002D035C"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>гарантийно</w:t>
      </w:r>
      <w:r w:rsidR="00513EE2"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="000E60E7"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>взноса</w:t>
      </w:r>
      <w:r w:rsidR="00513EE2"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3EE2"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B0FC2"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13EE2"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000 рублей </w:t>
      </w:r>
      <w:r w:rsidR="00513EE2" w:rsidRPr="00E77A2B">
        <w:rPr>
          <w:rFonts w:ascii="Times New Roman" w:hAnsi="Times New Roman" w:cs="Times New Roman"/>
          <w:sz w:val="24"/>
          <w:szCs w:val="24"/>
          <w:lang w:eastAsia="ru-RU"/>
        </w:rPr>
        <w:t>(возвращается по истечении срока аренды сейфовой ячейки</w:t>
      </w:r>
      <w:r w:rsidR="002308CD" w:rsidRPr="00E77A2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3EE2" w:rsidRPr="00E77A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C3A" w:rsidRPr="00E77A2B" w:rsidRDefault="00C40C3A" w:rsidP="00513E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3EE2" w:rsidRPr="00E77A2B" w:rsidRDefault="00611597" w:rsidP="00513E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13EE2"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Стоимость аренды сейфовой ячейки*</w:t>
      </w:r>
    </w:p>
    <w:p w:rsidR="006B0FC2" w:rsidRPr="00E77A2B" w:rsidRDefault="006B0FC2" w:rsidP="00513E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07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884"/>
        <w:gridCol w:w="2785"/>
      </w:tblGrid>
      <w:tr w:rsidR="006B0FC2" w:rsidRPr="00E77A2B" w:rsidTr="00AF07AB">
        <w:tc>
          <w:tcPr>
            <w:tcW w:w="1289" w:type="pct"/>
            <w:vMerge w:val="restart"/>
            <w:vAlign w:val="center"/>
            <w:hideMark/>
          </w:tcPr>
          <w:p w:rsidR="006B0FC2" w:rsidRPr="00E77A2B" w:rsidRDefault="006B0FC2" w:rsidP="00AF07A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ячейки (</w:t>
            </w:r>
            <w:proofErr w:type="gramStart"/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11" w:type="pct"/>
            <w:gridSpan w:val="2"/>
            <w:vAlign w:val="center"/>
            <w:hideMark/>
          </w:tcPr>
          <w:p w:rsidR="006B0FC2" w:rsidRPr="00E77A2B" w:rsidRDefault="006B0FC2" w:rsidP="00AF07A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Срок аренды в днях </w:t>
            </w:r>
          </w:p>
        </w:tc>
      </w:tr>
      <w:tr w:rsidR="006B0FC2" w:rsidRPr="00E77A2B" w:rsidTr="00AF07AB">
        <w:tc>
          <w:tcPr>
            <w:tcW w:w="1289" w:type="pct"/>
            <w:vMerge/>
            <w:vAlign w:val="center"/>
            <w:hideMark/>
          </w:tcPr>
          <w:p w:rsidR="006B0FC2" w:rsidRPr="00E77A2B" w:rsidRDefault="006B0FC2" w:rsidP="00AF07A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  <w:vAlign w:val="center"/>
            <w:hideMark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 дней</w:t>
            </w:r>
          </w:p>
        </w:tc>
        <w:tc>
          <w:tcPr>
            <w:tcW w:w="1823" w:type="pct"/>
            <w:vAlign w:val="center"/>
            <w:hideMark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30 дней</w:t>
            </w:r>
          </w:p>
        </w:tc>
      </w:tr>
      <w:tr w:rsidR="006B0FC2" w:rsidRPr="00E77A2B" w:rsidTr="00AF07AB">
        <w:trPr>
          <w:trHeight w:val="390"/>
        </w:trPr>
        <w:tc>
          <w:tcPr>
            <w:tcW w:w="1289" w:type="pct"/>
            <w:vAlign w:val="center"/>
            <w:hideMark/>
          </w:tcPr>
          <w:p w:rsidR="006B0FC2" w:rsidRPr="00E77A2B" w:rsidRDefault="006B0FC2" w:rsidP="00AF07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х 260 х 390</w:t>
            </w:r>
          </w:p>
        </w:tc>
        <w:tc>
          <w:tcPr>
            <w:tcW w:w="1888" w:type="pct"/>
            <w:vAlign w:val="center"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23" w:type="pct"/>
            <w:vAlign w:val="center"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6B0FC2" w:rsidRPr="00E77A2B" w:rsidTr="00AF07AB">
        <w:trPr>
          <w:trHeight w:val="390"/>
        </w:trPr>
        <w:tc>
          <w:tcPr>
            <w:tcW w:w="1289" w:type="pct"/>
            <w:vAlign w:val="center"/>
            <w:hideMark/>
          </w:tcPr>
          <w:p w:rsidR="006B0FC2" w:rsidRPr="00E77A2B" w:rsidRDefault="006B0FC2" w:rsidP="00AF07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х 260 х 390</w:t>
            </w:r>
          </w:p>
        </w:tc>
        <w:tc>
          <w:tcPr>
            <w:tcW w:w="1888" w:type="pct"/>
            <w:vAlign w:val="center"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23" w:type="pct"/>
            <w:vAlign w:val="center"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B0FC2" w:rsidRPr="00E77A2B" w:rsidTr="00AF07AB">
        <w:trPr>
          <w:trHeight w:val="390"/>
        </w:trPr>
        <w:tc>
          <w:tcPr>
            <w:tcW w:w="1289" w:type="pct"/>
            <w:vAlign w:val="center"/>
            <w:hideMark/>
          </w:tcPr>
          <w:p w:rsidR="006B0FC2" w:rsidRPr="00E77A2B" w:rsidRDefault="006B0FC2" w:rsidP="00AF07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 х 260 х 390</w:t>
            </w:r>
          </w:p>
        </w:tc>
        <w:tc>
          <w:tcPr>
            <w:tcW w:w="1888" w:type="pct"/>
            <w:vAlign w:val="center"/>
            <w:hideMark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23" w:type="pct"/>
            <w:vAlign w:val="center"/>
          </w:tcPr>
          <w:p w:rsidR="006B0FC2" w:rsidRPr="00E77A2B" w:rsidRDefault="006B0FC2" w:rsidP="00AF07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6B0FC2" w:rsidRPr="00E77A2B" w:rsidRDefault="006B0FC2" w:rsidP="00513E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72EE" w:rsidRPr="00E77A2B" w:rsidRDefault="00D272EE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EE2" w:rsidRPr="00E77A2B" w:rsidRDefault="00513EE2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sz w:val="24"/>
          <w:szCs w:val="24"/>
          <w:lang w:eastAsia="ru-RU"/>
        </w:rPr>
        <w:t>*Стоимость аренды указана за один день в рублях РФ.</w:t>
      </w:r>
    </w:p>
    <w:p w:rsidR="00513EE2" w:rsidRPr="00E77A2B" w:rsidRDefault="00513EE2" w:rsidP="006B0F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 Оплата стоимости аренды индивидуальной сейфовой ячейки производится в день заключения или пролонгации договора аренды. </w:t>
      </w:r>
    </w:p>
    <w:p w:rsidR="004436D4" w:rsidRPr="00E77A2B" w:rsidRDefault="004436D4" w:rsidP="006B0F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sz w:val="24"/>
          <w:szCs w:val="24"/>
          <w:lang w:eastAsia="ru-RU"/>
        </w:rPr>
        <w:t>В случае неисполнения Клиентом обязательства</w:t>
      </w:r>
      <w:r w:rsidRPr="00E77A2B">
        <w:rPr>
          <w:rFonts w:ascii="Times New Roman" w:hAnsi="Times New Roman" w:cs="Times New Roman"/>
          <w:sz w:val="24"/>
          <w:szCs w:val="24"/>
        </w:rPr>
        <w:t xml:space="preserve"> по освобождению Ячейки п</w:t>
      </w:r>
      <w:r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о истечении срока аренды, Клиент независимо от количества дней аренды ячейки сверх срока, должен уплатить Банку арендную плату за </w:t>
      </w:r>
      <w:r w:rsidR="00672DAC"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 30 календарных дней </w:t>
      </w:r>
      <w:r w:rsidR="009F0615"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 по соответствующему Тарифу </w:t>
      </w:r>
      <w:r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окончания оплаченного срока аренды Сейфовой ячейки. Данная сумма может быть компенсирована из суммы </w:t>
      </w:r>
      <w:r w:rsidR="002D035C" w:rsidRPr="00E77A2B">
        <w:rPr>
          <w:rFonts w:ascii="Times New Roman" w:hAnsi="Times New Roman" w:cs="Times New Roman"/>
          <w:sz w:val="24"/>
          <w:szCs w:val="24"/>
          <w:lang w:eastAsia="ru-RU"/>
        </w:rPr>
        <w:t>Гарантийно</w:t>
      </w:r>
      <w:r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="000E60E7" w:rsidRPr="00E77A2B">
        <w:rPr>
          <w:rFonts w:ascii="Times New Roman" w:hAnsi="Times New Roman" w:cs="Times New Roman"/>
          <w:sz w:val="24"/>
          <w:szCs w:val="24"/>
          <w:lang w:eastAsia="ru-RU"/>
        </w:rPr>
        <w:t>взноса</w:t>
      </w:r>
      <w:r w:rsidRPr="00E77A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0297" w:rsidRPr="00E77A2B" w:rsidRDefault="00320297" w:rsidP="006B0FC2">
      <w:pPr>
        <w:pStyle w:val="a3"/>
        <w:jc w:val="both"/>
        <w:rPr>
          <w:sz w:val="24"/>
          <w:szCs w:val="24"/>
          <w:lang w:eastAsia="ru-RU"/>
        </w:rPr>
      </w:pPr>
    </w:p>
    <w:p w:rsidR="008F66A9" w:rsidRPr="00E77A2B" w:rsidRDefault="008F66A9" w:rsidP="00513EE2">
      <w:pPr>
        <w:pStyle w:val="a3"/>
        <w:rPr>
          <w:b/>
          <w:bCs/>
          <w:sz w:val="24"/>
          <w:szCs w:val="24"/>
          <w:lang w:eastAsia="ru-RU"/>
        </w:rPr>
      </w:pPr>
    </w:p>
    <w:p w:rsidR="00513EE2" w:rsidRPr="00E77A2B" w:rsidRDefault="00611597" w:rsidP="00513E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513EE2"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Комиссии Банка за оказание сопутствующих услуг</w:t>
      </w:r>
    </w:p>
    <w:p w:rsidR="00C40C3A" w:rsidRPr="00E77A2B" w:rsidRDefault="00C40C3A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8"/>
      </w:tblGrid>
      <w:tr w:rsidR="00513EE2" w:rsidRPr="00E77A2B" w:rsidTr="00212988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оплаты</w:t>
            </w:r>
          </w:p>
        </w:tc>
      </w:tr>
      <w:tr w:rsidR="00513EE2" w:rsidRPr="00E77A2B" w:rsidTr="00212988">
        <w:trPr>
          <w:trHeight w:val="3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Пересчет и проверка подлинности наличных денежных сре</w:t>
            </w:r>
            <w:proofErr w:type="gramStart"/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ассе Банка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0,2% от суммы пересчета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день совершения операции</w:t>
            </w:r>
          </w:p>
        </w:tc>
      </w:tr>
      <w:tr w:rsidR="001E5A5C" w:rsidRPr="00E77A2B" w:rsidTr="00212988">
        <w:trPr>
          <w:trHeight w:val="3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C" w:rsidRPr="00E77A2B" w:rsidRDefault="001E5A5C" w:rsidP="001E5A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Пересчет и проверка подлинности наличных денежных сре</w:t>
            </w:r>
            <w:proofErr w:type="gramStart"/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ассе Банка в случае заключения договора совместной аренды сейфовой ячейки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C" w:rsidRPr="00E77A2B" w:rsidRDefault="001E5A5C" w:rsidP="001E5A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0,1 % от суммы пересчета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5C" w:rsidRPr="00E77A2B" w:rsidRDefault="001E5A5C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день совершения операции</w:t>
            </w:r>
          </w:p>
        </w:tc>
      </w:tr>
      <w:tr w:rsidR="00513EE2" w:rsidRPr="00E77A2B" w:rsidTr="00212988">
        <w:trPr>
          <w:trHeight w:val="3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доверенности на право доступа к банковскому сейфу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день оформления </w:t>
            </w:r>
          </w:p>
        </w:tc>
      </w:tr>
    </w:tbl>
    <w:p w:rsidR="008F66A9" w:rsidRPr="00E77A2B" w:rsidRDefault="008F66A9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97" w:rsidRPr="00E77A2B" w:rsidRDefault="00320297" w:rsidP="00513EE2">
      <w:pPr>
        <w:pStyle w:val="a3"/>
        <w:rPr>
          <w:sz w:val="24"/>
          <w:szCs w:val="24"/>
          <w:lang w:eastAsia="ru-RU"/>
        </w:rPr>
      </w:pPr>
    </w:p>
    <w:p w:rsidR="00320297" w:rsidRPr="00E77A2B" w:rsidRDefault="00320297" w:rsidP="00513E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Прочие </w:t>
      </w:r>
      <w:r w:rsidR="00AC3520"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C40C3A" w:rsidRPr="00E77A2B" w:rsidRDefault="00C40C3A" w:rsidP="00513EE2">
      <w:pPr>
        <w:pStyle w:val="a3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8"/>
      </w:tblGrid>
      <w:tr w:rsidR="00320297" w:rsidRPr="00E77A2B" w:rsidTr="000B4EF0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320297" w:rsidRPr="00E77A2B" w:rsidRDefault="00320297" w:rsidP="000B4E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320297" w:rsidRPr="00E77A2B" w:rsidRDefault="00320297" w:rsidP="000B4E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320297" w:rsidRPr="00E77A2B" w:rsidRDefault="00320297" w:rsidP="000B4EF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оплаты</w:t>
            </w:r>
          </w:p>
        </w:tc>
      </w:tr>
      <w:tr w:rsidR="00320297" w:rsidRPr="00E77A2B" w:rsidTr="000B4EF0">
        <w:trPr>
          <w:trHeight w:val="3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7" w:rsidRPr="00E77A2B" w:rsidRDefault="00E777A2" w:rsidP="000B4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совместной аренды сейфовой ячейки (проверка права на допуск к ячейке)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7" w:rsidRPr="00E77A2B" w:rsidRDefault="00320297" w:rsidP="000B4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1 500 рублей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7" w:rsidRPr="00E77A2B" w:rsidRDefault="00320297" w:rsidP="000B4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день заключения договора</w:t>
            </w:r>
          </w:p>
        </w:tc>
      </w:tr>
      <w:tr w:rsidR="00320297" w:rsidRPr="00E77A2B" w:rsidTr="000B4EF0">
        <w:trPr>
          <w:trHeight w:val="3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7" w:rsidRPr="00E77A2B" w:rsidRDefault="00320297" w:rsidP="000B4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Банком содержимого ячейки после ее принудительного вскрытия*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7" w:rsidRPr="00E77A2B" w:rsidRDefault="006B0FC2" w:rsidP="006B0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0297"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97" w:rsidRPr="00E77A2B" w:rsidRDefault="00320297" w:rsidP="000B4E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день передачи содержимого ячейки на хранение</w:t>
            </w:r>
          </w:p>
        </w:tc>
      </w:tr>
    </w:tbl>
    <w:p w:rsidR="00320297" w:rsidRPr="00E77A2B" w:rsidRDefault="00320297" w:rsidP="003202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sz w:val="24"/>
          <w:szCs w:val="24"/>
          <w:lang w:eastAsia="ru-RU"/>
        </w:rPr>
        <w:t>* Независимо от срока хранения.</w:t>
      </w:r>
    </w:p>
    <w:p w:rsidR="00320297" w:rsidRPr="00E77A2B" w:rsidRDefault="00320297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EE2" w:rsidRPr="00E77A2B" w:rsidRDefault="006B0FC2" w:rsidP="00513E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513EE2" w:rsidRPr="00E77A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Штрафы Банка</w:t>
      </w:r>
    </w:p>
    <w:p w:rsidR="00320297" w:rsidRPr="00E77A2B" w:rsidRDefault="00320297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8"/>
      </w:tblGrid>
      <w:tr w:rsidR="00513EE2" w:rsidRPr="00E77A2B" w:rsidTr="00212988"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4" w:space="0" w:color="auto"/>
              <w:right w:val="single" w:sz="6" w:space="0" w:color="323232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оплаты</w:t>
            </w:r>
          </w:p>
        </w:tc>
      </w:tr>
      <w:tr w:rsidR="00513EE2" w:rsidRPr="00E77A2B" w:rsidTr="00212988">
        <w:trPr>
          <w:trHeight w:val="39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 за утерю ключа</w:t>
            </w:r>
            <w:r w:rsidR="00824527"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за замену замка Ячейки, пришедшего в </w:t>
            </w:r>
            <w:r w:rsidR="008E799A"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527"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негодность по вине Клиента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A312FC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</w:t>
            </w:r>
            <w:r w:rsidR="00513EE2"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E2" w:rsidRPr="00E77A2B" w:rsidRDefault="00513EE2" w:rsidP="00513E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день совершения операции</w:t>
            </w:r>
          </w:p>
        </w:tc>
      </w:tr>
    </w:tbl>
    <w:p w:rsidR="00320297" w:rsidRPr="00E77A2B" w:rsidRDefault="00320297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97" w:rsidRPr="00E77A2B" w:rsidRDefault="00320297" w:rsidP="00513E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297" w:rsidRPr="00E77A2B" w:rsidRDefault="00320297" w:rsidP="00E77A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EE2" w:rsidRPr="00E77A2B" w:rsidRDefault="00513EE2" w:rsidP="00E77A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sz w:val="24"/>
          <w:szCs w:val="24"/>
          <w:lang w:eastAsia="ru-RU"/>
        </w:rPr>
        <w:t>Вознаграждение Банка по услугам (операциям) с банковскими сейфовыми ячейками включает в себя Налог на добавленную стоимость (НДС);</w:t>
      </w:r>
    </w:p>
    <w:p w:rsidR="00513EE2" w:rsidRPr="00E77A2B" w:rsidRDefault="00513EE2" w:rsidP="00E77A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вознаграждения Банка за оказываемые услуги по предоставлению в аренду банковских сейфовых ячеек осуществляется в безналичном порядке или наличными через кассу Банка; </w:t>
      </w:r>
    </w:p>
    <w:p w:rsidR="00513EE2" w:rsidRPr="00E77A2B" w:rsidRDefault="00513EE2" w:rsidP="00E77A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Банк не начисляет и не выплачивает проценты за размещенный </w:t>
      </w:r>
      <w:r w:rsidR="002D035C" w:rsidRPr="00E77A2B">
        <w:rPr>
          <w:rFonts w:ascii="Times New Roman" w:hAnsi="Times New Roman" w:cs="Times New Roman"/>
          <w:sz w:val="24"/>
          <w:szCs w:val="24"/>
          <w:lang w:eastAsia="ru-RU"/>
        </w:rPr>
        <w:t>гарантийны</w:t>
      </w:r>
      <w:r w:rsidRPr="00E77A2B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0E60E7" w:rsidRPr="00E77A2B">
        <w:rPr>
          <w:rFonts w:ascii="Times New Roman" w:hAnsi="Times New Roman" w:cs="Times New Roman"/>
          <w:sz w:val="24"/>
          <w:szCs w:val="24"/>
          <w:lang w:eastAsia="ru-RU"/>
        </w:rPr>
        <w:t>взнос</w:t>
      </w:r>
      <w:r w:rsidRPr="00E77A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5BF" w:rsidRPr="00E77A2B" w:rsidRDefault="003625BF" w:rsidP="00E77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625BF" w:rsidRPr="00E7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D9E"/>
    <w:multiLevelType w:val="multilevel"/>
    <w:tmpl w:val="BB0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2"/>
    <w:rsid w:val="0000559B"/>
    <w:rsid w:val="00005C98"/>
    <w:rsid w:val="00006310"/>
    <w:rsid w:val="00013D76"/>
    <w:rsid w:val="00025F6F"/>
    <w:rsid w:val="000264CA"/>
    <w:rsid w:val="0002709E"/>
    <w:rsid w:val="000333BB"/>
    <w:rsid w:val="00042854"/>
    <w:rsid w:val="000646D6"/>
    <w:rsid w:val="00074681"/>
    <w:rsid w:val="00075ECC"/>
    <w:rsid w:val="00086349"/>
    <w:rsid w:val="0008754B"/>
    <w:rsid w:val="0009593B"/>
    <w:rsid w:val="0009737D"/>
    <w:rsid w:val="000A1783"/>
    <w:rsid w:val="000A18C6"/>
    <w:rsid w:val="000C2688"/>
    <w:rsid w:val="000D0786"/>
    <w:rsid w:val="000D4A9F"/>
    <w:rsid w:val="000E3C43"/>
    <w:rsid w:val="000E5D86"/>
    <w:rsid w:val="000E5DFD"/>
    <w:rsid w:val="000E60E7"/>
    <w:rsid w:val="00113AF4"/>
    <w:rsid w:val="001147A3"/>
    <w:rsid w:val="0011786C"/>
    <w:rsid w:val="001256F7"/>
    <w:rsid w:val="0013406D"/>
    <w:rsid w:val="00152E10"/>
    <w:rsid w:val="001549D8"/>
    <w:rsid w:val="00160397"/>
    <w:rsid w:val="00161D74"/>
    <w:rsid w:val="00170F27"/>
    <w:rsid w:val="00181140"/>
    <w:rsid w:val="001836DF"/>
    <w:rsid w:val="001A257E"/>
    <w:rsid w:val="001A4BB4"/>
    <w:rsid w:val="001A6045"/>
    <w:rsid w:val="001A7EAD"/>
    <w:rsid w:val="001B07B7"/>
    <w:rsid w:val="001B36DB"/>
    <w:rsid w:val="001C07F9"/>
    <w:rsid w:val="001E5A5C"/>
    <w:rsid w:val="001F4E24"/>
    <w:rsid w:val="001F5C09"/>
    <w:rsid w:val="00212988"/>
    <w:rsid w:val="00227E48"/>
    <w:rsid w:val="002308CD"/>
    <w:rsid w:val="0023614E"/>
    <w:rsid w:val="002412D9"/>
    <w:rsid w:val="00241DB1"/>
    <w:rsid w:val="00242F6E"/>
    <w:rsid w:val="00247E22"/>
    <w:rsid w:val="00263FF5"/>
    <w:rsid w:val="00270AA6"/>
    <w:rsid w:val="002764B7"/>
    <w:rsid w:val="00295F6B"/>
    <w:rsid w:val="002B61E3"/>
    <w:rsid w:val="002D035C"/>
    <w:rsid w:val="002D3C22"/>
    <w:rsid w:val="002D465C"/>
    <w:rsid w:val="002E1FFC"/>
    <w:rsid w:val="002F6CBB"/>
    <w:rsid w:val="003176AD"/>
    <w:rsid w:val="00320297"/>
    <w:rsid w:val="0035060B"/>
    <w:rsid w:val="00353056"/>
    <w:rsid w:val="00354291"/>
    <w:rsid w:val="003625BF"/>
    <w:rsid w:val="00393B3C"/>
    <w:rsid w:val="00397A0E"/>
    <w:rsid w:val="003B5EB5"/>
    <w:rsid w:val="003F136D"/>
    <w:rsid w:val="0042680D"/>
    <w:rsid w:val="00434D83"/>
    <w:rsid w:val="004436D4"/>
    <w:rsid w:val="00447974"/>
    <w:rsid w:val="00462EEF"/>
    <w:rsid w:val="00470F83"/>
    <w:rsid w:val="00471014"/>
    <w:rsid w:val="004A40C0"/>
    <w:rsid w:val="004A5DCF"/>
    <w:rsid w:val="004B5DA7"/>
    <w:rsid w:val="004C1FEC"/>
    <w:rsid w:val="004E3E32"/>
    <w:rsid w:val="004F76D6"/>
    <w:rsid w:val="005003F2"/>
    <w:rsid w:val="00512C80"/>
    <w:rsid w:val="00513EE2"/>
    <w:rsid w:val="005706B2"/>
    <w:rsid w:val="00576A3D"/>
    <w:rsid w:val="00580FE4"/>
    <w:rsid w:val="0058250C"/>
    <w:rsid w:val="005866D4"/>
    <w:rsid w:val="00593A5D"/>
    <w:rsid w:val="005B3DBE"/>
    <w:rsid w:val="005C123E"/>
    <w:rsid w:val="005C375C"/>
    <w:rsid w:val="005C6659"/>
    <w:rsid w:val="005D75C5"/>
    <w:rsid w:val="005E56CC"/>
    <w:rsid w:val="005F0909"/>
    <w:rsid w:val="005F6326"/>
    <w:rsid w:val="006037EB"/>
    <w:rsid w:val="00611597"/>
    <w:rsid w:val="006257A8"/>
    <w:rsid w:val="00641269"/>
    <w:rsid w:val="00642FB7"/>
    <w:rsid w:val="00643CE4"/>
    <w:rsid w:val="0065276D"/>
    <w:rsid w:val="00672144"/>
    <w:rsid w:val="00672DAC"/>
    <w:rsid w:val="00676194"/>
    <w:rsid w:val="00677B30"/>
    <w:rsid w:val="006875DA"/>
    <w:rsid w:val="00687A42"/>
    <w:rsid w:val="006A09E7"/>
    <w:rsid w:val="006A30B6"/>
    <w:rsid w:val="006A512E"/>
    <w:rsid w:val="006A5D16"/>
    <w:rsid w:val="006A7980"/>
    <w:rsid w:val="006B0FC2"/>
    <w:rsid w:val="006C64FB"/>
    <w:rsid w:val="006D1A03"/>
    <w:rsid w:val="006E1D05"/>
    <w:rsid w:val="006E7128"/>
    <w:rsid w:val="006F0160"/>
    <w:rsid w:val="006F3444"/>
    <w:rsid w:val="007170F5"/>
    <w:rsid w:val="00733205"/>
    <w:rsid w:val="0074068F"/>
    <w:rsid w:val="0074185A"/>
    <w:rsid w:val="00742F27"/>
    <w:rsid w:val="00766102"/>
    <w:rsid w:val="007916CD"/>
    <w:rsid w:val="007969B9"/>
    <w:rsid w:val="007A047A"/>
    <w:rsid w:val="007C11EE"/>
    <w:rsid w:val="007C457A"/>
    <w:rsid w:val="007E5F5E"/>
    <w:rsid w:val="007F0E6F"/>
    <w:rsid w:val="00807D2D"/>
    <w:rsid w:val="00816D4C"/>
    <w:rsid w:val="00824527"/>
    <w:rsid w:val="008324DC"/>
    <w:rsid w:val="008549FB"/>
    <w:rsid w:val="0087567B"/>
    <w:rsid w:val="008A0796"/>
    <w:rsid w:val="008A3D41"/>
    <w:rsid w:val="008B30F2"/>
    <w:rsid w:val="008C1B01"/>
    <w:rsid w:val="008C449E"/>
    <w:rsid w:val="008D1B05"/>
    <w:rsid w:val="008D7D9C"/>
    <w:rsid w:val="008E054E"/>
    <w:rsid w:val="008E6DA3"/>
    <w:rsid w:val="008E799A"/>
    <w:rsid w:val="008F66A9"/>
    <w:rsid w:val="00906999"/>
    <w:rsid w:val="00914F89"/>
    <w:rsid w:val="0091707C"/>
    <w:rsid w:val="00920490"/>
    <w:rsid w:val="009215C7"/>
    <w:rsid w:val="00936187"/>
    <w:rsid w:val="00944331"/>
    <w:rsid w:val="0095380A"/>
    <w:rsid w:val="00955B37"/>
    <w:rsid w:val="0095618E"/>
    <w:rsid w:val="0096155F"/>
    <w:rsid w:val="00967ABC"/>
    <w:rsid w:val="0097168F"/>
    <w:rsid w:val="0097304A"/>
    <w:rsid w:val="00983180"/>
    <w:rsid w:val="00991195"/>
    <w:rsid w:val="009B03E9"/>
    <w:rsid w:val="009C4176"/>
    <w:rsid w:val="009C5A69"/>
    <w:rsid w:val="009D529B"/>
    <w:rsid w:val="009F0615"/>
    <w:rsid w:val="009F41EA"/>
    <w:rsid w:val="00A17C57"/>
    <w:rsid w:val="00A239C1"/>
    <w:rsid w:val="00A26FD4"/>
    <w:rsid w:val="00A312FC"/>
    <w:rsid w:val="00A40AB0"/>
    <w:rsid w:val="00A4734C"/>
    <w:rsid w:val="00A70F35"/>
    <w:rsid w:val="00A8665A"/>
    <w:rsid w:val="00AB0099"/>
    <w:rsid w:val="00AC3520"/>
    <w:rsid w:val="00AC4B98"/>
    <w:rsid w:val="00AC61BA"/>
    <w:rsid w:val="00AC6F54"/>
    <w:rsid w:val="00AD3840"/>
    <w:rsid w:val="00AD5FD9"/>
    <w:rsid w:val="00AF76A8"/>
    <w:rsid w:val="00B02FDB"/>
    <w:rsid w:val="00B04D8D"/>
    <w:rsid w:val="00B13C25"/>
    <w:rsid w:val="00B15673"/>
    <w:rsid w:val="00B2287E"/>
    <w:rsid w:val="00B4481A"/>
    <w:rsid w:val="00B57F76"/>
    <w:rsid w:val="00B717FF"/>
    <w:rsid w:val="00B72CB9"/>
    <w:rsid w:val="00B822CA"/>
    <w:rsid w:val="00B83FCF"/>
    <w:rsid w:val="00B84E27"/>
    <w:rsid w:val="00B862D9"/>
    <w:rsid w:val="00B91708"/>
    <w:rsid w:val="00BA4061"/>
    <w:rsid w:val="00BB35B6"/>
    <w:rsid w:val="00BB55B5"/>
    <w:rsid w:val="00BD2954"/>
    <w:rsid w:val="00BD38E9"/>
    <w:rsid w:val="00BD3DC0"/>
    <w:rsid w:val="00BD4AB0"/>
    <w:rsid w:val="00BD4E79"/>
    <w:rsid w:val="00BE0B86"/>
    <w:rsid w:val="00C2003B"/>
    <w:rsid w:val="00C31536"/>
    <w:rsid w:val="00C402B1"/>
    <w:rsid w:val="00C40C3A"/>
    <w:rsid w:val="00C45841"/>
    <w:rsid w:val="00C4749E"/>
    <w:rsid w:val="00C53209"/>
    <w:rsid w:val="00C65527"/>
    <w:rsid w:val="00C66FFC"/>
    <w:rsid w:val="00C70B8A"/>
    <w:rsid w:val="00C82655"/>
    <w:rsid w:val="00C91606"/>
    <w:rsid w:val="00C94A6A"/>
    <w:rsid w:val="00CB0C43"/>
    <w:rsid w:val="00CB2549"/>
    <w:rsid w:val="00CB2E65"/>
    <w:rsid w:val="00CB333C"/>
    <w:rsid w:val="00CB3590"/>
    <w:rsid w:val="00CB6216"/>
    <w:rsid w:val="00CC30E4"/>
    <w:rsid w:val="00CC7B79"/>
    <w:rsid w:val="00CD3452"/>
    <w:rsid w:val="00CE1A67"/>
    <w:rsid w:val="00CF6B93"/>
    <w:rsid w:val="00D03D14"/>
    <w:rsid w:val="00D11388"/>
    <w:rsid w:val="00D14562"/>
    <w:rsid w:val="00D272EE"/>
    <w:rsid w:val="00D33339"/>
    <w:rsid w:val="00D350D3"/>
    <w:rsid w:val="00D36930"/>
    <w:rsid w:val="00D407B1"/>
    <w:rsid w:val="00D717AA"/>
    <w:rsid w:val="00D818E4"/>
    <w:rsid w:val="00D81C95"/>
    <w:rsid w:val="00D84AEC"/>
    <w:rsid w:val="00D85369"/>
    <w:rsid w:val="00D94C68"/>
    <w:rsid w:val="00DA3920"/>
    <w:rsid w:val="00DB33A5"/>
    <w:rsid w:val="00DB4B7E"/>
    <w:rsid w:val="00DC30A4"/>
    <w:rsid w:val="00DC5FA5"/>
    <w:rsid w:val="00DC6FA9"/>
    <w:rsid w:val="00DD0BE7"/>
    <w:rsid w:val="00DD15C4"/>
    <w:rsid w:val="00DD2631"/>
    <w:rsid w:val="00DD3834"/>
    <w:rsid w:val="00DE6674"/>
    <w:rsid w:val="00E05CF5"/>
    <w:rsid w:val="00E10280"/>
    <w:rsid w:val="00E25D23"/>
    <w:rsid w:val="00E25F53"/>
    <w:rsid w:val="00E31B35"/>
    <w:rsid w:val="00E37240"/>
    <w:rsid w:val="00E40BD2"/>
    <w:rsid w:val="00E43A4B"/>
    <w:rsid w:val="00E46058"/>
    <w:rsid w:val="00E7577C"/>
    <w:rsid w:val="00E777A2"/>
    <w:rsid w:val="00E77A2B"/>
    <w:rsid w:val="00EA25DD"/>
    <w:rsid w:val="00EA5EED"/>
    <w:rsid w:val="00EC0DD3"/>
    <w:rsid w:val="00EC1A22"/>
    <w:rsid w:val="00EC207D"/>
    <w:rsid w:val="00EC4064"/>
    <w:rsid w:val="00ED0E0A"/>
    <w:rsid w:val="00ED1854"/>
    <w:rsid w:val="00ED43B8"/>
    <w:rsid w:val="00EE3788"/>
    <w:rsid w:val="00EE4ABB"/>
    <w:rsid w:val="00EE66E8"/>
    <w:rsid w:val="00EF4442"/>
    <w:rsid w:val="00F024D1"/>
    <w:rsid w:val="00F07168"/>
    <w:rsid w:val="00F110DD"/>
    <w:rsid w:val="00F12E06"/>
    <w:rsid w:val="00F26416"/>
    <w:rsid w:val="00F408CF"/>
    <w:rsid w:val="00F45B8F"/>
    <w:rsid w:val="00F708CD"/>
    <w:rsid w:val="00F74DC7"/>
    <w:rsid w:val="00F800A6"/>
    <w:rsid w:val="00F81E92"/>
    <w:rsid w:val="00F91632"/>
    <w:rsid w:val="00FB003D"/>
    <w:rsid w:val="00FC5398"/>
    <w:rsid w:val="00FC6E82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3209"/>
    <w:pPr>
      <w:keepNext/>
      <w:ind w:left="4680"/>
      <w:jc w:val="right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EE2"/>
    <w:pPr>
      <w:spacing w:after="0" w:line="240" w:lineRule="auto"/>
    </w:pPr>
  </w:style>
  <w:style w:type="character" w:customStyle="1" w:styleId="80">
    <w:name w:val="Заголовок 8 Знак"/>
    <w:basedOn w:val="a0"/>
    <w:link w:val="8"/>
    <w:semiHidden/>
    <w:rsid w:val="00C5320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3209"/>
    <w:pPr>
      <w:keepNext/>
      <w:ind w:left="4680"/>
      <w:jc w:val="right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EE2"/>
    <w:pPr>
      <w:spacing w:after="0" w:line="240" w:lineRule="auto"/>
    </w:pPr>
  </w:style>
  <w:style w:type="character" w:customStyle="1" w:styleId="80">
    <w:name w:val="Заголовок 8 Знак"/>
    <w:basedOn w:val="a0"/>
    <w:link w:val="8"/>
    <w:semiHidden/>
    <w:rsid w:val="00C5320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2810">
                      <w:marLeft w:val="4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1E3-8F13-4757-8BFE-0B46DB5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Екатерина Николаевна</dc:creator>
  <cp:lastModifiedBy>Пономарева Екатерина Николаевна</cp:lastModifiedBy>
  <cp:revision>2</cp:revision>
  <cp:lastPrinted>2016-12-12T11:13:00Z</cp:lastPrinted>
  <dcterms:created xsi:type="dcterms:W3CDTF">2016-12-12T11:41:00Z</dcterms:created>
  <dcterms:modified xsi:type="dcterms:W3CDTF">2016-12-12T11:41:00Z</dcterms:modified>
</cp:coreProperties>
</file>